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371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8"/>
        <w:gridCol w:w="2136"/>
        <w:gridCol w:w="879"/>
        <w:gridCol w:w="1806"/>
        <w:gridCol w:w="1588"/>
        <w:gridCol w:w="1772"/>
        <w:gridCol w:w="1420"/>
        <w:gridCol w:w="2256"/>
        <w:gridCol w:w="30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1537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附件一：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           </w:t>
            </w:r>
            <w:bookmarkStart w:id="0" w:name="_GoBack"/>
            <w:bookmarkEnd w:id="0"/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四川外国语大学2024年5月（总第34期）招租门面简况表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位   置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面积（㎡）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租金单价底价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（元/㎡/月）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租赁期间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租赁用途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履约保证金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(元)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现场踏勘电话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特别要求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西区1号门面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25.50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396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30294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西区4号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19.64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423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24923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西区5号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19.64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315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18560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西区6号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19.64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315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18560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锦绣楼负二楼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13号门面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30.40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187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17073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锦绣楼负二楼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14号门面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28.50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187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16006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锦绣楼负二楼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15号门面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26.00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187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14602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东2-1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33.00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221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21830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东2-2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35.53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203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21584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东2-3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35.30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203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21445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东2-5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20.89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167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10435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东2-6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14.17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167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7078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东2-7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39.53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167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19745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东2-8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20.00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167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超市/库房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9990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东2-9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35.00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167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洗衣店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17483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东2-10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20.88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167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理发店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10430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东2-11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34.60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167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17283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东2-12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99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仅限清真食品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22869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具备清真食品经营资格,经营活动必须严格遵守穆斯林信仰及风俗习惯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东13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12.70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203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餐饮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7715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东3-9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1507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图书馆108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36.00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423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45684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65488522(李)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图书馆二楼复印店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37.06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189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复印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21013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65488522(李)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学生公寓14舍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西北角门面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30.00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189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17010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65385166（杨）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生活服务站1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38.7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主要经营蔬菜、肉、鱼蛋等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9404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主要经营蔬菜、肉、鱼蛋等生鲜食材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生活服务站2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主要经营蔬菜、肉、鱼蛋等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8262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主要经营蔬菜、肉、鱼蛋等生鲜食材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生活服务站3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主要经营蔬菜、肉、鱼蛋等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12636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主要经营蔬菜、肉、鱼蛋等生鲜食材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537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注：1. 电费：综合单价 1.31元/度（电费：0.65元/度，管理费0.66元/度）。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      水费：西区6元/吨，东区：4.5元/吨； 物业费1.2元/㎡。如费用标准发生变化，则按变化后标准执行。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   2. 所有门面不得现场加工或销售非预包装食品。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2024年5月11日</w:t>
            </w:r>
          </w:p>
        </w:tc>
      </w:tr>
    </w:tbl>
    <w:p/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xYWNhZmYyMmYzMmJkMjVlNjY3ODRjZDI1NzlkZWQifQ=="/>
  </w:docVars>
  <w:rsids>
    <w:rsidRoot w:val="5DBB100C"/>
    <w:rsid w:val="45A6634B"/>
    <w:rsid w:val="5DBB1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5">
    <w:name w:val="font01"/>
    <w:basedOn w:val="3"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720</Words>
  <Characters>1809</Characters>
  <Lines>0</Lines>
  <Paragraphs>0</Paragraphs>
  <TotalTime>1</TotalTime>
  <ScaleCrop>false</ScaleCrop>
  <LinksUpToDate>false</LinksUpToDate>
  <CharactersWithSpaces>1892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2024-05-11T03:28:00Z</dcterms:created>
  <dc:creator>慕逸</dc:creator>
  <cp:lastModifiedBy>慕逸</cp:lastModifiedBy>
  <dcterms:modified xsi:type="dcterms:W3CDTF">2024-05-11T03:29:55Z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7A2ECF0BC8464B178BFA7DEDE2CA135D</vt:lpwstr>
  </property>
</Properties>
</file>